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3A" w:rsidRDefault="00C16234">
      <w:r>
        <w:t>Program Outcomes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4"/>
        <w:gridCol w:w="975"/>
        <w:gridCol w:w="987"/>
        <w:gridCol w:w="1224"/>
        <w:gridCol w:w="975"/>
        <w:gridCol w:w="1161"/>
      </w:tblGrid>
      <w:tr w:rsidR="00C16234" w:rsidTr="0096528A">
        <w:tc>
          <w:tcPr>
            <w:tcW w:w="4428" w:type="dxa"/>
            <w:shd w:val="clear" w:color="auto" w:fill="95B3D7" w:themeFill="accent1" w:themeFillTint="99"/>
          </w:tcPr>
          <w:p w:rsidR="00C16234" w:rsidRDefault="00C16234">
            <w:r>
              <w:t>Retention – Class of: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C16234" w:rsidRDefault="00C16234">
            <w:r>
              <w:t>2016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C16234" w:rsidRDefault="00C16234">
            <w:r>
              <w:t>2017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C16234" w:rsidRDefault="00C16234">
            <w:r>
              <w:t>2018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C16234" w:rsidRDefault="00C16234">
            <w:r>
              <w:t>2019</w:t>
            </w:r>
          </w:p>
        </w:tc>
        <w:tc>
          <w:tcPr>
            <w:tcW w:w="1188" w:type="dxa"/>
            <w:shd w:val="clear" w:color="auto" w:fill="95B3D7" w:themeFill="accent1" w:themeFillTint="99"/>
          </w:tcPr>
          <w:p w:rsidR="00C16234" w:rsidRDefault="00C16234">
            <w:r>
              <w:t>2020</w:t>
            </w:r>
          </w:p>
        </w:tc>
      </w:tr>
      <w:tr w:rsidR="00C16234" w:rsidTr="00C16234">
        <w:tc>
          <w:tcPr>
            <w:tcW w:w="4428" w:type="dxa"/>
          </w:tcPr>
          <w:p w:rsidR="00C16234" w:rsidRDefault="00C16234"/>
          <w:p w:rsidR="00C16234" w:rsidRDefault="00C16234">
            <w:r>
              <w:t>New Admits</w:t>
            </w:r>
          </w:p>
        </w:tc>
        <w:tc>
          <w:tcPr>
            <w:tcW w:w="990" w:type="dxa"/>
          </w:tcPr>
          <w:p w:rsidR="00C16234" w:rsidRDefault="00C16234">
            <w:r>
              <w:t>6 of 10=</w:t>
            </w:r>
          </w:p>
          <w:p w:rsidR="00C16234" w:rsidRDefault="00C16234">
            <w:r>
              <w:t>60%</w:t>
            </w:r>
          </w:p>
        </w:tc>
        <w:tc>
          <w:tcPr>
            <w:tcW w:w="990" w:type="dxa"/>
          </w:tcPr>
          <w:p w:rsidR="00C16234" w:rsidRDefault="00E41E9F">
            <w:r>
              <w:t>3 of 10=30%</w:t>
            </w:r>
          </w:p>
        </w:tc>
        <w:tc>
          <w:tcPr>
            <w:tcW w:w="990" w:type="dxa"/>
          </w:tcPr>
          <w:p w:rsidR="00C16234" w:rsidRDefault="00344925">
            <w:r>
              <w:t>10 of10=100%</w:t>
            </w:r>
          </w:p>
        </w:tc>
        <w:tc>
          <w:tcPr>
            <w:tcW w:w="990" w:type="dxa"/>
          </w:tcPr>
          <w:p w:rsidR="00C16234" w:rsidRDefault="00933564">
            <w:r>
              <w:t>6 of 10= 60%</w:t>
            </w:r>
          </w:p>
        </w:tc>
        <w:tc>
          <w:tcPr>
            <w:tcW w:w="1188" w:type="dxa"/>
          </w:tcPr>
          <w:p w:rsidR="00C16234" w:rsidRDefault="00C16234"/>
        </w:tc>
      </w:tr>
      <w:tr w:rsidR="00C16234" w:rsidTr="00C16234">
        <w:tc>
          <w:tcPr>
            <w:tcW w:w="4428" w:type="dxa"/>
          </w:tcPr>
          <w:p w:rsidR="00C16234" w:rsidRDefault="00C16234"/>
          <w:p w:rsidR="00C16234" w:rsidRDefault="00C16234">
            <w:r>
              <w:t>Readmits</w:t>
            </w:r>
          </w:p>
        </w:tc>
        <w:tc>
          <w:tcPr>
            <w:tcW w:w="990" w:type="dxa"/>
            <w:vAlign w:val="bottom"/>
          </w:tcPr>
          <w:p w:rsidR="00C16234" w:rsidRDefault="00C16234" w:rsidP="00C16234">
            <w:r>
              <w:t>None</w:t>
            </w:r>
          </w:p>
        </w:tc>
        <w:tc>
          <w:tcPr>
            <w:tcW w:w="990" w:type="dxa"/>
          </w:tcPr>
          <w:p w:rsidR="00344925" w:rsidRDefault="00344925"/>
          <w:p w:rsidR="00C16234" w:rsidRDefault="00344925">
            <w:r>
              <w:t>N</w:t>
            </w:r>
            <w:r w:rsidR="00E41E9F">
              <w:t>one</w:t>
            </w:r>
          </w:p>
        </w:tc>
        <w:tc>
          <w:tcPr>
            <w:tcW w:w="990" w:type="dxa"/>
          </w:tcPr>
          <w:p w:rsidR="00344925" w:rsidRDefault="00344925"/>
          <w:p w:rsidR="00C16234" w:rsidRDefault="00344925">
            <w:r>
              <w:t>None</w:t>
            </w:r>
          </w:p>
        </w:tc>
        <w:tc>
          <w:tcPr>
            <w:tcW w:w="990" w:type="dxa"/>
          </w:tcPr>
          <w:p w:rsidR="00C16234" w:rsidRDefault="00C16234"/>
          <w:p w:rsidR="00933564" w:rsidRDefault="00933564">
            <w:r>
              <w:t>None</w:t>
            </w:r>
          </w:p>
        </w:tc>
        <w:tc>
          <w:tcPr>
            <w:tcW w:w="1188" w:type="dxa"/>
          </w:tcPr>
          <w:p w:rsidR="00C16234" w:rsidRDefault="00C16234"/>
        </w:tc>
      </w:tr>
      <w:tr w:rsidR="00C16234" w:rsidTr="00C16234">
        <w:tc>
          <w:tcPr>
            <w:tcW w:w="4428" w:type="dxa"/>
          </w:tcPr>
          <w:p w:rsidR="00C16234" w:rsidRDefault="00C16234"/>
          <w:p w:rsidR="00C16234" w:rsidRDefault="00C16234">
            <w:r>
              <w:t>ARC/STSA Retention Threshold</w:t>
            </w:r>
          </w:p>
        </w:tc>
        <w:tc>
          <w:tcPr>
            <w:tcW w:w="990" w:type="dxa"/>
            <w:vAlign w:val="bottom"/>
          </w:tcPr>
          <w:p w:rsidR="00C16234" w:rsidRDefault="00C16234" w:rsidP="00C16234">
            <w:r>
              <w:t>60%</w:t>
            </w:r>
          </w:p>
        </w:tc>
        <w:tc>
          <w:tcPr>
            <w:tcW w:w="990" w:type="dxa"/>
          </w:tcPr>
          <w:p w:rsidR="00344925" w:rsidRDefault="00344925"/>
          <w:p w:rsidR="00C16234" w:rsidRDefault="00E41E9F">
            <w:r>
              <w:t>60%</w:t>
            </w:r>
          </w:p>
        </w:tc>
        <w:tc>
          <w:tcPr>
            <w:tcW w:w="990" w:type="dxa"/>
          </w:tcPr>
          <w:p w:rsidR="00344925" w:rsidRDefault="00344925"/>
          <w:p w:rsidR="00C16234" w:rsidRDefault="00344925">
            <w:r>
              <w:t>60%</w:t>
            </w:r>
          </w:p>
        </w:tc>
        <w:tc>
          <w:tcPr>
            <w:tcW w:w="990" w:type="dxa"/>
          </w:tcPr>
          <w:p w:rsidR="00C16234" w:rsidRDefault="00C16234"/>
          <w:p w:rsidR="00933564" w:rsidRDefault="00933564">
            <w:r>
              <w:t>60%</w:t>
            </w:r>
          </w:p>
        </w:tc>
        <w:tc>
          <w:tcPr>
            <w:tcW w:w="1188" w:type="dxa"/>
          </w:tcPr>
          <w:p w:rsidR="00C16234" w:rsidRDefault="00C16234"/>
        </w:tc>
      </w:tr>
      <w:tr w:rsidR="00C16234" w:rsidTr="00C16234">
        <w:tc>
          <w:tcPr>
            <w:tcW w:w="4428" w:type="dxa"/>
          </w:tcPr>
          <w:p w:rsidR="00C16234" w:rsidRDefault="00C16234"/>
          <w:p w:rsidR="00C16234" w:rsidRDefault="00C16234">
            <w:r>
              <w:t>Total Retention % by class</w:t>
            </w:r>
          </w:p>
        </w:tc>
        <w:tc>
          <w:tcPr>
            <w:tcW w:w="990" w:type="dxa"/>
            <w:vAlign w:val="bottom"/>
          </w:tcPr>
          <w:p w:rsidR="00C16234" w:rsidRDefault="00C16234" w:rsidP="00C16234">
            <w:r>
              <w:t>60%</w:t>
            </w:r>
          </w:p>
        </w:tc>
        <w:tc>
          <w:tcPr>
            <w:tcW w:w="990" w:type="dxa"/>
          </w:tcPr>
          <w:p w:rsidR="00344925" w:rsidRDefault="00344925"/>
          <w:p w:rsidR="00C16234" w:rsidRDefault="00E41E9F">
            <w:r>
              <w:t>30%</w:t>
            </w:r>
          </w:p>
        </w:tc>
        <w:tc>
          <w:tcPr>
            <w:tcW w:w="990" w:type="dxa"/>
          </w:tcPr>
          <w:p w:rsidR="00344925" w:rsidRDefault="00344925"/>
          <w:p w:rsidR="00C16234" w:rsidRDefault="00344925">
            <w:r>
              <w:t>100%</w:t>
            </w:r>
          </w:p>
        </w:tc>
        <w:tc>
          <w:tcPr>
            <w:tcW w:w="990" w:type="dxa"/>
          </w:tcPr>
          <w:p w:rsidR="00C16234" w:rsidRDefault="00C16234"/>
          <w:p w:rsidR="00933564" w:rsidRDefault="00933564">
            <w:r>
              <w:t>60%</w:t>
            </w:r>
          </w:p>
        </w:tc>
        <w:tc>
          <w:tcPr>
            <w:tcW w:w="1188" w:type="dxa"/>
          </w:tcPr>
          <w:p w:rsidR="00C16234" w:rsidRDefault="00C16234"/>
        </w:tc>
      </w:tr>
    </w:tbl>
    <w:p w:rsidR="00C16234" w:rsidRDefault="00C16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990"/>
        <w:gridCol w:w="990"/>
        <w:gridCol w:w="990"/>
        <w:gridCol w:w="990"/>
        <w:gridCol w:w="1188"/>
      </w:tblGrid>
      <w:tr w:rsidR="00C16234" w:rsidTr="0096528A">
        <w:tc>
          <w:tcPr>
            <w:tcW w:w="4428" w:type="dxa"/>
            <w:shd w:val="clear" w:color="auto" w:fill="95B3D7" w:themeFill="accent1" w:themeFillTint="99"/>
          </w:tcPr>
          <w:p w:rsidR="00C16234" w:rsidRDefault="00C16234" w:rsidP="00FB32F5">
            <w:r>
              <w:t>CST Exam Rates– Class of: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C16234" w:rsidRDefault="00C16234" w:rsidP="00FB32F5">
            <w:r>
              <w:t>2016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C16234" w:rsidRDefault="00C16234" w:rsidP="00FB32F5">
            <w:r>
              <w:t>2017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C16234" w:rsidRDefault="00C16234" w:rsidP="00FB32F5">
            <w:r>
              <w:t>2018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C16234" w:rsidRDefault="00C16234" w:rsidP="00FB32F5">
            <w:r>
              <w:t>2019</w:t>
            </w:r>
          </w:p>
        </w:tc>
        <w:tc>
          <w:tcPr>
            <w:tcW w:w="1188" w:type="dxa"/>
            <w:shd w:val="clear" w:color="auto" w:fill="95B3D7" w:themeFill="accent1" w:themeFillTint="99"/>
          </w:tcPr>
          <w:p w:rsidR="00C16234" w:rsidRDefault="00C16234" w:rsidP="00FB32F5">
            <w:r>
              <w:t>2020</w:t>
            </w:r>
          </w:p>
        </w:tc>
      </w:tr>
      <w:tr w:rsidR="00C16234" w:rsidTr="00C16234">
        <w:tc>
          <w:tcPr>
            <w:tcW w:w="4428" w:type="dxa"/>
          </w:tcPr>
          <w:p w:rsidR="00C16234" w:rsidRDefault="00C16234" w:rsidP="00FB32F5"/>
          <w:p w:rsidR="00C16234" w:rsidRDefault="00C16234" w:rsidP="00FB32F5">
            <w:r>
              <w:t>ARC/STSA 1</w:t>
            </w:r>
            <w:r w:rsidRPr="00C16234">
              <w:rPr>
                <w:vertAlign w:val="superscript"/>
              </w:rPr>
              <w:t>st</w:t>
            </w:r>
            <w:r>
              <w:t xml:space="preserve"> time Pass Rate Threshold:</w:t>
            </w:r>
          </w:p>
        </w:tc>
        <w:tc>
          <w:tcPr>
            <w:tcW w:w="990" w:type="dxa"/>
            <w:vAlign w:val="bottom"/>
          </w:tcPr>
          <w:p w:rsidR="00C16234" w:rsidRDefault="00C16234" w:rsidP="00C16234">
            <w:r>
              <w:t>70%</w:t>
            </w:r>
          </w:p>
        </w:tc>
        <w:tc>
          <w:tcPr>
            <w:tcW w:w="990" w:type="dxa"/>
          </w:tcPr>
          <w:p w:rsidR="00344925" w:rsidRDefault="00344925" w:rsidP="00FB32F5"/>
          <w:p w:rsidR="00C16234" w:rsidRDefault="00E41E9F" w:rsidP="00FB32F5">
            <w:r>
              <w:t>70%</w:t>
            </w:r>
          </w:p>
        </w:tc>
        <w:tc>
          <w:tcPr>
            <w:tcW w:w="990" w:type="dxa"/>
          </w:tcPr>
          <w:p w:rsidR="00344925" w:rsidRDefault="00344925" w:rsidP="00FB32F5"/>
          <w:p w:rsidR="00C16234" w:rsidRDefault="00344925" w:rsidP="00FB32F5">
            <w:r>
              <w:t>70%</w:t>
            </w:r>
          </w:p>
        </w:tc>
        <w:tc>
          <w:tcPr>
            <w:tcW w:w="990" w:type="dxa"/>
          </w:tcPr>
          <w:p w:rsidR="00C16234" w:rsidRDefault="00C16234" w:rsidP="00FB32F5"/>
          <w:p w:rsidR="00933564" w:rsidRDefault="00933564" w:rsidP="00FB32F5">
            <w:r>
              <w:t>70%</w:t>
            </w:r>
          </w:p>
        </w:tc>
        <w:tc>
          <w:tcPr>
            <w:tcW w:w="1188" w:type="dxa"/>
          </w:tcPr>
          <w:p w:rsidR="00C16234" w:rsidRDefault="00C16234" w:rsidP="00FB32F5"/>
        </w:tc>
      </w:tr>
      <w:tr w:rsidR="00C16234" w:rsidTr="00FB32F5">
        <w:tc>
          <w:tcPr>
            <w:tcW w:w="4428" w:type="dxa"/>
          </w:tcPr>
          <w:p w:rsidR="0096528A" w:rsidRDefault="0096528A" w:rsidP="00FB32F5"/>
          <w:p w:rsidR="00C16234" w:rsidRDefault="00C16234" w:rsidP="00FB32F5">
            <w:r>
              <w:t xml:space="preserve"> CST Exam 1</w:t>
            </w:r>
            <w:r w:rsidRPr="00C16234">
              <w:rPr>
                <w:vertAlign w:val="superscript"/>
              </w:rPr>
              <w:t>st</w:t>
            </w:r>
            <w:r>
              <w:t xml:space="preserve"> time Pass Rates</w:t>
            </w:r>
          </w:p>
        </w:tc>
        <w:tc>
          <w:tcPr>
            <w:tcW w:w="990" w:type="dxa"/>
            <w:vAlign w:val="bottom"/>
          </w:tcPr>
          <w:p w:rsidR="00C16234" w:rsidRDefault="00C16234" w:rsidP="00FB32F5">
            <w:r>
              <w:t>50%</w:t>
            </w:r>
          </w:p>
        </w:tc>
        <w:tc>
          <w:tcPr>
            <w:tcW w:w="990" w:type="dxa"/>
          </w:tcPr>
          <w:p w:rsidR="00344925" w:rsidRDefault="00344925" w:rsidP="00FB32F5"/>
          <w:p w:rsidR="00C16234" w:rsidRDefault="00E41E9F" w:rsidP="00FB32F5">
            <w:r>
              <w:t>100%</w:t>
            </w:r>
          </w:p>
        </w:tc>
        <w:tc>
          <w:tcPr>
            <w:tcW w:w="990" w:type="dxa"/>
          </w:tcPr>
          <w:p w:rsidR="00344925" w:rsidRDefault="00344925" w:rsidP="00FB32F5"/>
          <w:p w:rsidR="00C16234" w:rsidRDefault="00344925" w:rsidP="00FB32F5">
            <w:r>
              <w:t>100%</w:t>
            </w:r>
          </w:p>
        </w:tc>
        <w:tc>
          <w:tcPr>
            <w:tcW w:w="990" w:type="dxa"/>
          </w:tcPr>
          <w:p w:rsidR="00C16234" w:rsidRDefault="00C16234" w:rsidP="00FB32F5"/>
          <w:p w:rsidR="00933564" w:rsidRDefault="00933564" w:rsidP="00FB32F5">
            <w:r>
              <w:t>100%</w:t>
            </w:r>
          </w:p>
        </w:tc>
        <w:tc>
          <w:tcPr>
            <w:tcW w:w="1188" w:type="dxa"/>
          </w:tcPr>
          <w:p w:rsidR="00C16234" w:rsidRDefault="00C16234" w:rsidP="00FB32F5"/>
        </w:tc>
      </w:tr>
      <w:tr w:rsidR="00C16234" w:rsidTr="0096528A">
        <w:tc>
          <w:tcPr>
            <w:tcW w:w="4428" w:type="dxa"/>
            <w:shd w:val="clear" w:color="auto" w:fill="BFBFBF" w:themeFill="background1" w:themeFillShade="BF"/>
          </w:tcPr>
          <w:p w:rsidR="00C16234" w:rsidRDefault="00C16234" w:rsidP="00FB32F5"/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C16234" w:rsidRDefault="00C16234" w:rsidP="00FB32F5"/>
        </w:tc>
        <w:tc>
          <w:tcPr>
            <w:tcW w:w="990" w:type="dxa"/>
            <w:shd w:val="clear" w:color="auto" w:fill="BFBFBF" w:themeFill="background1" w:themeFillShade="BF"/>
          </w:tcPr>
          <w:p w:rsidR="00C16234" w:rsidRDefault="00C16234" w:rsidP="00FB32F5"/>
        </w:tc>
        <w:tc>
          <w:tcPr>
            <w:tcW w:w="990" w:type="dxa"/>
            <w:shd w:val="clear" w:color="auto" w:fill="BFBFBF" w:themeFill="background1" w:themeFillShade="BF"/>
          </w:tcPr>
          <w:p w:rsidR="00C16234" w:rsidRDefault="00C16234" w:rsidP="00FB32F5"/>
        </w:tc>
        <w:tc>
          <w:tcPr>
            <w:tcW w:w="990" w:type="dxa"/>
            <w:shd w:val="clear" w:color="auto" w:fill="BFBFBF" w:themeFill="background1" w:themeFillShade="BF"/>
          </w:tcPr>
          <w:p w:rsidR="00C16234" w:rsidRDefault="00C16234" w:rsidP="00FB32F5"/>
        </w:tc>
        <w:tc>
          <w:tcPr>
            <w:tcW w:w="1188" w:type="dxa"/>
            <w:shd w:val="clear" w:color="auto" w:fill="BFBFBF" w:themeFill="background1" w:themeFillShade="BF"/>
          </w:tcPr>
          <w:p w:rsidR="00C16234" w:rsidRDefault="00C16234" w:rsidP="00FB32F5"/>
        </w:tc>
      </w:tr>
      <w:tr w:rsidR="00C16234" w:rsidTr="00FB32F5">
        <w:tc>
          <w:tcPr>
            <w:tcW w:w="4428" w:type="dxa"/>
          </w:tcPr>
          <w:p w:rsidR="00C16234" w:rsidRDefault="00C16234" w:rsidP="00FB32F5"/>
          <w:p w:rsidR="00C16234" w:rsidRDefault="00C16234" w:rsidP="00FB32F5">
            <w:r>
              <w:t>ARC/STSA Exam Participation Rate Threshold</w:t>
            </w:r>
          </w:p>
        </w:tc>
        <w:tc>
          <w:tcPr>
            <w:tcW w:w="990" w:type="dxa"/>
            <w:vAlign w:val="bottom"/>
          </w:tcPr>
          <w:p w:rsidR="00C16234" w:rsidRDefault="00C16234" w:rsidP="00FB32F5">
            <w:r>
              <w:t>100%</w:t>
            </w:r>
          </w:p>
        </w:tc>
        <w:tc>
          <w:tcPr>
            <w:tcW w:w="990" w:type="dxa"/>
          </w:tcPr>
          <w:p w:rsidR="00344925" w:rsidRDefault="00344925" w:rsidP="00FB32F5"/>
          <w:p w:rsidR="00C16234" w:rsidRDefault="00E41E9F" w:rsidP="00FB32F5">
            <w:r>
              <w:t>100%</w:t>
            </w:r>
          </w:p>
        </w:tc>
        <w:tc>
          <w:tcPr>
            <w:tcW w:w="990" w:type="dxa"/>
          </w:tcPr>
          <w:p w:rsidR="00344925" w:rsidRDefault="00344925" w:rsidP="00FB32F5"/>
          <w:p w:rsidR="00C16234" w:rsidRDefault="00344925" w:rsidP="00FB32F5">
            <w:r>
              <w:t>100%</w:t>
            </w:r>
          </w:p>
        </w:tc>
        <w:tc>
          <w:tcPr>
            <w:tcW w:w="990" w:type="dxa"/>
          </w:tcPr>
          <w:p w:rsidR="00C16234" w:rsidRDefault="00C16234" w:rsidP="00FB32F5"/>
          <w:p w:rsidR="00933564" w:rsidRDefault="00933564" w:rsidP="00FB32F5">
            <w:r>
              <w:t>100%</w:t>
            </w:r>
          </w:p>
        </w:tc>
        <w:tc>
          <w:tcPr>
            <w:tcW w:w="1188" w:type="dxa"/>
          </w:tcPr>
          <w:p w:rsidR="00C16234" w:rsidRDefault="00C16234" w:rsidP="00FB32F5"/>
        </w:tc>
      </w:tr>
      <w:tr w:rsidR="00C16234" w:rsidTr="00FB32F5">
        <w:tc>
          <w:tcPr>
            <w:tcW w:w="4428" w:type="dxa"/>
          </w:tcPr>
          <w:p w:rsidR="00C16234" w:rsidRDefault="00C16234" w:rsidP="00FB32F5"/>
          <w:p w:rsidR="00C16234" w:rsidRDefault="0096528A" w:rsidP="00FB32F5">
            <w:r>
              <w:t xml:space="preserve"> Exam participation Rate</w:t>
            </w:r>
          </w:p>
        </w:tc>
        <w:tc>
          <w:tcPr>
            <w:tcW w:w="990" w:type="dxa"/>
            <w:vAlign w:val="bottom"/>
          </w:tcPr>
          <w:p w:rsidR="00C16234" w:rsidRDefault="0096528A" w:rsidP="00FB32F5">
            <w:r>
              <w:t>100%</w:t>
            </w:r>
          </w:p>
        </w:tc>
        <w:tc>
          <w:tcPr>
            <w:tcW w:w="990" w:type="dxa"/>
          </w:tcPr>
          <w:p w:rsidR="00344925" w:rsidRDefault="00344925" w:rsidP="00FB32F5"/>
          <w:p w:rsidR="00C16234" w:rsidRDefault="00E41E9F" w:rsidP="00FB32F5">
            <w:r>
              <w:t>100%</w:t>
            </w:r>
          </w:p>
        </w:tc>
        <w:tc>
          <w:tcPr>
            <w:tcW w:w="990" w:type="dxa"/>
          </w:tcPr>
          <w:p w:rsidR="00344925" w:rsidRDefault="00344925" w:rsidP="00FB32F5"/>
          <w:p w:rsidR="00C16234" w:rsidRDefault="00344925" w:rsidP="00FB32F5">
            <w:r>
              <w:t>100%</w:t>
            </w:r>
          </w:p>
        </w:tc>
        <w:tc>
          <w:tcPr>
            <w:tcW w:w="990" w:type="dxa"/>
          </w:tcPr>
          <w:p w:rsidR="00C16234" w:rsidRDefault="00C16234" w:rsidP="00FB32F5"/>
          <w:p w:rsidR="00933564" w:rsidRDefault="00933564" w:rsidP="00FB32F5">
            <w:r>
              <w:t>100%</w:t>
            </w:r>
          </w:p>
        </w:tc>
        <w:tc>
          <w:tcPr>
            <w:tcW w:w="1188" w:type="dxa"/>
          </w:tcPr>
          <w:p w:rsidR="00C16234" w:rsidRDefault="00C16234" w:rsidP="00FB32F5"/>
        </w:tc>
      </w:tr>
    </w:tbl>
    <w:p w:rsidR="00C16234" w:rsidRDefault="00C16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990"/>
        <w:gridCol w:w="990"/>
        <w:gridCol w:w="990"/>
        <w:gridCol w:w="990"/>
        <w:gridCol w:w="1188"/>
      </w:tblGrid>
      <w:tr w:rsidR="0096528A" w:rsidTr="0096528A">
        <w:tc>
          <w:tcPr>
            <w:tcW w:w="4428" w:type="dxa"/>
            <w:shd w:val="clear" w:color="auto" w:fill="95B3D7" w:themeFill="accent1" w:themeFillTint="99"/>
          </w:tcPr>
          <w:p w:rsidR="0096528A" w:rsidRDefault="0096528A" w:rsidP="00FB32F5">
            <w:r>
              <w:t>Employment Information– Class of: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96528A" w:rsidRDefault="0096528A" w:rsidP="00FB32F5">
            <w:r>
              <w:t>2016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96528A" w:rsidRDefault="0096528A" w:rsidP="00FB32F5">
            <w:r>
              <w:t>2017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96528A" w:rsidRDefault="0096528A" w:rsidP="00FB32F5">
            <w:r>
              <w:t>2018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96528A" w:rsidRDefault="0096528A" w:rsidP="00FB32F5">
            <w:r>
              <w:t>2019</w:t>
            </w:r>
          </w:p>
        </w:tc>
        <w:tc>
          <w:tcPr>
            <w:tcW w:w="1188" w:type="dxa"/>
            <w:shd w:val="clear" w:color="auto" w:fill="95B3D7" w:themeFill="accent1" w:themeFillTint="99"/>
          </w:tcPr>
          <w:p w:rsidR="0096528A" w:rsidRDefault="0096528A" w:rsidP="00FB32F5">
            <w:r>
              <w:t>2020</w:t>
            </w:r>
          </w:p>
        </w:tc>
      </w:tr>
      <w:tr w:rsidR="0096528A" w:rsidTr="00FB32F5">
        <w:tc>
          <w:tcPr>
            <w:tcW w:w="4428" w:type="dxa"/>
          </w:tcPr>
          <w:p w:rsidR="0096528A" w:rsidRDefault="0096528A" w:rsidP="00FB32F5"/>
          <w:p w:rsidR="0096528A" w:rsidRDefault="0096528A" w:rsidP="00FB32F5">
            <w:r>
              <w:t>ARC/STSA Graduate Placement Threshold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96528A" w:rsidP="00FB32F5">
            <w:r>
              <w:t>85%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E41E9F" w:rsidP="00FB32F5">
            <w:r>
              <w:t>85%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344925" w:rsidP="00FB32F5">
            <w:r>
              <w:t>85%</w:t>
            </w:r>
          </w:p>
        </w:tc>
        <w:tc>
          <w:tcPr>
            <w:tcW w:w="990" w:type="dxa"/>
          </w:tcPr>
          <w:p w:rsidR="00933564" w:rsidRDefault="00933564" w:rsidP="00FB32F5"/>
          <w:p w:rsidR="0096528A" w:rsidRDefault="00933564" w:rsidP="00FB32F5">
            <w:r>
              <w:t>85%</w:t>
            </w:r>
          </w:p>
        </w:tc>
        <w:tc>
          <w:tcPr>
            <w:tcW w:w="1188" w:type="dxa"/>
          </w:tcPr>
          <w:p w:rsidR="0096528A" w:rsidRDefault="0096528A" w:rsidP="00FB32F5"/>
        </w:tc>
      </w:tr>
      <w:tr w:rsidR="0096528A" w:rsidTr="00FB32F5">
        <w:tc>
          <w:tcPr>
            <w:tcW w:w="4428" w:type="dxa"/>
          </w:tcPr>
          <w:p w:rsidR="0096528A" w:rsidRDefault="0096528A" w:rsidP="00FB32F5"/>
          <w:p w:rsidR="0096528A" w:rsidRDefault="0096528A" w:rsidP="00FB32F5">
            <w:r>
              <w:t xml:space="preserve"> Graduate Placement within 1 year</w:t>
            </w:r>
          </w:p>
        </w:tc>
        <w:tc>
          <w:tcPr>
            <w:tcW w:w="990" w:type="dxa"/>
            <w:vAlign w:val="bottom"/>
          </w:tcPr>
          <w:p w:rsidR="0096528A" w:rsidRDefault="0096528A" w:rsidP="00FB32F5">
            <w:r>
              <w:t>100%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E41E9F" w:rsidP="00FB32F5">
            <w:r>
              <w:t>66%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933564" w:rsidP="00FB32F5">
            <w:r>
              <w:t>100%</w:t>
            </w:r>
          </w:p>
        </w:tc>
        <w:tc>
          <w:tcPr>
            <w:tcW w:w="990" w:type="dxa"/>
          </w:tcPr>
          <w:p w:rsidR="0096528A" w:rsidRDefault="0096528A" w:rsidP="00FB32F5"/>
          <w:p w:rsidR="00933564" w:rsidRDefault="00933564" w:rsidP="00FB32F5">
            <w:r>
              <w:t>100%</w:t>
            </w:r>
          </w:p>
        </w:tc>
        <w:tc>
          <w:tcPr>
            <w:tcW w:w="1188" w:type="dxa"/>
          </w:tcPr>
          <w:p w:rsidR="0096528A" w:rsidRDefault="0096528A" w:rsidP="00FB32F5"/>
        </w:tc>
      </w:tr>
      <w:tr w:rsidR="0096528A" w:rsidTr="0096528A">
        <w:tc>
          <w:tcPr>
            <w:tcW w:w="4428" w:type="dxa"/>
            <w:shd w:val="clear" w:color="auto" w:fill="BFBFBF" w:themeFill="background1" w:themeFillShade="BF"/>
            <w:vAlign w:val="bottom"/>
          </w:tcPr>
          <w:p w:rsidR="0096528A" w:rsidRDefault="0096528A" w:rsidP="0096528A"/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96528A" w:rsidRDefault="0096528A" w:rsidP="00FB32F5"/>
        </w:tc>
        <w:tc>
          <w:tcPr>
            <w:tcW w:w="990" w:type="dxa"/>
            <w:shd w:val="clear" w:color="auto" w:fill="BFBFBF" w:themeFill="background1" w:themeFillShade="BF"/>
          </w:tcPr>
          <w:p w:rsidR="0096528A" w:rsidRDefault="0096528A" w:rsidP="00FB32F5"/>
        </w:tc>
        <w:tc>
          <w:tcPr>
            <w:tcW w:w="990" w:type="dxa"/>
            <w:shd w:val="clear" w:color="auto" w:fill="BFBFBF" w:themeFill="background1" w:themeFillShade="BF"/>
          </w:tcPr>
          <w:p w:rsidR="0096528A" w:rsidRDefault="0096528A" w:rsidP="00FB32F5"/>
        </w:tc>
        <w:tc>
          <w:tcPr>
            <w:tcW w:w="990" w:type="dxa"/>
            <w:shd w:val="clear" w:color="auto" w:fill="BFBFBF" w:themeFill="background1" w:themeFillShade="BF"/>
          </w:tcPr>
          <w:p w:rsidR="0096528A" w:rsidRDefault="0096528A" w:rsidP="00FB32F5"/>
        </w:tc>
        <w:tc>
          <w:tcPr>
            <w:tcW w:w="1188" w:type="dxa"/>
            <w:shd w:val="clear" w:color="auto" w:fill="BFBFBF" w:themeFill="background1" w:themeFillShade="BF"/>
          </w:tcPr>
          <w:p w:rsidR="0096528A" w:rsidRDefault="0096528A" w:rsidP="00FB32F5"/>
        </w:tc>
      </w:tr>
      <w:tr w:rsidR="0096528A" w:rsidTr="0096528A">
        <w:tc>
          <w:tcPr>
            <w:tcW w:w="4428" w:type="dxa"/>
            <w:vAlign w:val="bottom"/>
          </w:tcPr>
          <w:p w:rsidR="0096528A" w:rsidRDefault="0096528A" w:rsidP="0096528A">
            <w:r>
              <w:t>ARC/STSA Employer Survey Return Rate Threshold</w:t>
            </w:r>
          </w:p>
        </w:tc>
        <w:tc>
          <w:tcPr>
            <w:tcW w:w="990" w:type="dxa"/>
            <w:vAlign w:val="bottom"/>
          </w:tcPr>
          <w:p w:rsidR="0096528A" w:rsidRDefault="0096528A" w:rsidP="00FB32F5">
            <w:r>
              <w:t>50%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E41E9F" w:rsidP="00FB32F5">
            <w:r>
              <w:t>50%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344925" w:rsidP="00FB32F5">
            <w:r>
              <w:t>50%</w:t>
            </w:r>
          </w:p>
        </w:tc>
        <w:tc>
          <w:tcPr>
            <w:tcW w:w="990" w:type="dxa"/>
          </w:tcPr>
          <w:p w:rsidR="0096528A" w:rsidRDefault="0096528A" w:rsidP="00FB32F5"/>
          <w:p w:rsidR="00933564" w:rsidRDefault="00933564" w:rsidP="00FB32F5">
            <w:r>
              <w:t>50%</w:t>
            </w:r>
          </w:p>
        </w:tc>
        <w:tc>
          <w:tcPr>
            <w:tcW w:w="1188" w:type="dxa"/>
          </w:tcPr>
          <w:p w:rsidR="0096528A" w:rsidRDefault="0096528A" w:rsidP="00FB32F5"/>
        </w:tc>
      </w:tr>
      <w:tr w:rsidR="0096528A" w:rsidTr="0096528A">
        <w:tc>
          <w:tcPr>
            <w:tcW w:w="4428" w:type="dxa"/>
            <w:vAlign w:val="bottom"/>
          </w:tcPr>
          <w:p w:rsidR="0096528A" w:rsidRDefault="0096528A" w:rsidP="0096528A"/>
          <w:p w:rsidR="0096528A" w:rsidRDefault="0096528A" w:rsidP="0096528A">
            <w:r>
              <w:t>Employer Survey Return Rate</w:t>
            </w:r>
          </w:p>
        </w:tc>
        <w:tc>
          <w:tcPr>
            <w:tcW w:w="990" w:type="dxa"/>
            <w:vAlign w:val="bottom"/>
          </w:tcPr>
          <w:p w:rsidR="0096528A" w:rsidRDefault="00E41E9F" w:rsidP="00FB32F5">
            <w:r>
              <w:t>100%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E41E9F" w:rsidP="00FB32F5">
            <w:r>
              <w:t>100%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933564" w:rsidP="00FB32F5">
            <w:r>
              <w:t>100%</w:t>
            </w:r>
          </w:p>
        </w:tc>
        <w:tc>
          <w:tcPr>
            <w:tcW w:w="990" w:type="dxa"/>
          </w:tcPr>
          <w:p w:rsidR="0096528A" w:rsidRDefault="0096528A" w:rsidP="00FB32F5"/>
          <w:p w:rsidR="00933564" w:rsidRDefault="00933564" w:rsidP="00FB32F5">
            <w:r>
              <w:t>pending</w:t>
            </w:r>
          </w:p>
        </w:tc>
        <w:tc>
          <w:tcPr>
            <w:tcW w:w="1188" w:type="dxa"/>
          </w:tcPr>
          <w:p w:rsidR="0096528A" w:rsidRDefault="0096528A" w:rsidP="00FB32F5"/>
        </w:tc>
      </w:tr>
      <w:tr w:rsidR="0096528A" w:rsidTr="0096528A">
        <w:tc>
          <w:tcPr>
            <w:tcW w:w="4428" w:type="dxa"/>
            <w:shd w:val="clear" w:color="auto" w:fill="BFBFBF" w:themeFill="background1" w:themeFillShade="BF"/>
            <w:vAlign w:val="bottom"/>
          </w:tcPr>
          <w:p w:rsidR="0096528A" w:rsidRDefault="0096528A" w:rsidP="0096528A"/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96528A" w:rsidRDefault="0096528A" w:rsidP="00FB32F5"/>
        </w:tc>
        <w:tc>
          <w:tcPr>
            <w:tcW w:w="990" w:type="dxa"/>
            <w:shd w:val="clear" w:color="auto" w:fill="BFBFBF" w:themeFill="background1" w:themeFillShade="BF"/>
          </w:tcPr>
          <w:p w:rsidR="0096528A" w:rsidRDefault="0096528A" w:rsidP="00FB32F5"/>
        </w:tc>
        <w:tc>
          <w:tcPr>
            <w:tcW w:w="990" w:type="dxa"/>
            <w:shd w:val="clear" w:color="auto" w:fill="BFBFBF" w:themeFill="background1" w:themeFillShade="BF"/>
          </w:tcPr>
          <w:p w:rsidR="0096528A" w:rsidRDefault="0096528A" w:rsidP="00FB32F5"/>
        </w:tc>
        <w:tc>
          <w:tcPr>
            <w:tcW w:w="990" w:type="dxa"/>
            <w:shd w:val="clear" w:color="auto" w:fill="BFBFBF" w:themeFill="background1" w:themeFillShade="BF"/>
          </w:tcPr>
          <w:p w:rsidR="0096528A" w:rsidRDefault="0096528A" w:rsidP="00FB32F5"/>
        </w:tc>
        <w:tc>
          <w:tcPr>
            <w:tcW w:w="1188" w:type="dxa"/>
            <w:shd w:val="clear" w:color="auto" w:fill="BFBFBF" w:themeFill="background1" w:themeFillShade="BF"/>
          </w:tcPr>
          <w:p w:rsidR="0096528A" w:rsidRDefault="0096528A" w:rsidP="00FB32F5"/>
        </w:tc>
      </w:tr>
      <w:tr w:rsidR="0096528A" w:rsidTr="0096528A">
        <w:tc>
          <w:tcPr>
            <w:tcW w:w="4428" w:type="dxa"/>
            <w:vAlign w:val="bottom"/>
          </w:tcPr>
          <w:p w:rsidR="0096528A" w:rsidRDefault="0096528A" w:rsidP="0096528A">
            <w:r>
              <w:t>ARC/STSA Employer survey Satisfaction Rate Threshold</w:t>
            </w:r>
          </w:p>
        </w:tc>
        <w:tc>
          <w:tcPr>
            <w:tcW w:w="990" w:type="dxa"/>
            <w:vAlign w:val="bottom"/>
          </w:tcPr>
          <w:p w:rsidR="0096528A" w:rsidRDefault="0096528A" w:rsidP="00FB32F5">
            <w:r>
              <w:t>85%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E41E9F" w:rsidP="00FB32F5">
            <w:r>
              <w:t>85%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344925" w:rsidP="00FB32F5">
            <w:r>
              <w:t>85%</w:t>
            </w:r>
          </w:p>
        </w:tc>
        <w:tc>
          <w:tcPr>
            <w:tcW w:w="990" w:type="dxa"/>
          </w:tcPr>
          <w:p w:rsidR="0096528A" w:rsidRDefault="0096528A" w:rsidP="00FB32F5"/>
          <w:p w:rsidR="00933564" w:rsidRDefault="00933564" w:rsidP="00FB32F5">
            <w:r>
              <w:t>85%</w:t>
            </w:r>
          </w:p>
        </w:tc>
        <w:tc>
          <w:tcPr>
            <w:tcW w:w="1188" w:type="dxa"/>
          </w:tcPr>
          <w:p w:rsidR="0096528A" w:rsidRDefault="0096528A" w:rsidP="00FB32F5"/>
        </w:tc>
      </w:tr>
      <w:tr w:rsidR="0096528A" w:rsidTr="0096528A">
        <w:tc>
          <w:tcPr>
            <w:tcW w:w="4428" w:type="dxa"/>
            <w:vAlign w:val="bottom"/>
          </w:tcPr>
          <w:p w:rsidR="0096528A" w:rsidRDefault="0096528A" w:rsidP="0096528A"/>
          <w:p w:rsidR="0096528A" w:rsidRDefault="0096528A" w:rsidP="0096528A">
            <w:r>
              <w:t>Employer Survey Satisfaction Rate</w:t>
            </w:r>
          </w:p>
        </w:tc>
        <w:tc>
          <w:tcPr>
            <w:tcW w:w="990" w:type="dxa"/>
            <w:vAlign w:val="bottom"/>
          </w:tcPr>
          <w:p w:rsidR="0096528A" w:rsidRDefault="00E41E9F" w:rsidP="00FB32F5">
            <w:r>
              <w:t>100%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E41E9F" w:rsidP="00FB32F5">
            <w:r>
              <w:t>50%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933564" w:rsidP="00FB32F5">
            <w:r>
              <w:t>100%</w:t>
            </w:r>
          </w:p>
        </w:tc>
        <w:tc>
          <w:tcPr>
            <w:tcW w:w="990" w:type="dxa"/>
          </w:tcPr>
          <w:p w:rsidR="0096528A" w:rsidRDefault="0096528A" w:rsidP="00FB32F5"/>
          <w:p w:rsidR="00933564" w:rsidRDefault="00933564" w:rsidP="00FB32F5">
            <w:r>
              <w:t>pending</w:t>
            </w:r>
          </w:p>
        </w:tc>
        <w:tc>
          <w:tcPr>
            <w:tcW w:w="1188" w:type="dxa"/>
          </w:tcPr>
          <w:p w:rsidR="0096528A" w:rsidRDefault="0096528A" w:rsidP="00FB32F5"/>
        </w:tc>
      </w:tr>
    </w:tbl>
    <w:p w:rsidR="0096528A" w:rsidRDefault="009652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990"/>
        <w:gridCol w:w="990"/>
        <w:gridCol w:w="990"/>
        <w:gridCol w:w="990"/>
        <w:gridCol w:w="1188"/>
      </w:tblGrid>
      <w:tr w:rsidR="0096528A" w:rsidTr="0096528A">
        <w:tc>
          <w:tcPr>
            <w:tcW w:w="4428" w:type="dxa"/>
            <w:shd w:val="clear" w:color="auto" w:fill="95B3D7" w:themeFill="accent1" w:themeFillTint="99"/>
          </w:tcPr>
          <w:p w:rsidR="0096528A" w:rsidRDefault="0096528A" w:rsidP="00FB32F5">
            <w:r>
              <w:t>Graduate Information  – Class of: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96528A" w:rsidRDefault="0096528A" w:rsidP="00FB32F5">
            <w:r>
              <w:t>2016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96528A" w:rsidRDefault="0096528A" w:rsidP="00FB32F5">
            <w:r>
              <w:t>2017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96528A" w:rsidRDefault="0096528A" w:rsidP="00FB32F5">
            <w:r>
              <w:t>2018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:rsidR="0096528A" w:rsidRDefault="0096528A" w:rsidP="00FB32F5">
            <w:r>
              <w:t>2019</w:t>
            </w:r>
          </w:p>
        </w:tc>
        <w:tc>
          <w:tcPr>
            <w:tcW w:w="1188" w:type="dxa"/>
            <w:shd w:val="clear" w:color="auto" w:fill="95B3D7" w:themeFill="accent1" w:themeFillTint="99"/>
          </w:tcPr>
          <w:p w:rsidR="0096528A" w:rsidRDefault="0096528A" w:rsidP="00FB32F5">
            <w:r>
              <w:t>2020</w:t>
            </w:r>
          </w:p>
        </w:tc>
      </w:tr>
      <w:tr w:rsidR="0096528A" w:rsidTr="00FB32F5">
        <w:tc>
          <w:tcPr>
            <w:tcW w:w="4428" w:type="dxa"/>
          </w:tcPr>
          <w:p w:rsidR="0096528A" w:rsidRDefault="0096528A" w:rsidP="00FB32F5">
            <w:r>
              <w:t>ARC/STSA Graduate Survey Return Rate Threshold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96528A" w:rsidP="00FB32F5">
            <w:r>
              <w:t>50%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E41E9F" w:rsidP="00FB32F5">
            <w:r>
              <w:t>50%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344925" w:rsidP="00FB32F5">
            <w:r>
              <w:t>50%</w:t>
            </w:r>
          </w:p>
        </w:tc>
        <w:tc>
          <w:tcPr>
            <w:tcW w:w="990" w:type="dxa"/>
          </w:tcPr>
          <w:p w:rsidR="0096528A" w:rsidRDefault="0096528A" w:rsidP="00FB32F5"/>
          <w:p w:rsidR="00933564" w:rsidRDefault="00933564" w:rsidP="00FB32F5">
            <w:r>
              <w:t>50%</w:t>
            </w:r>
          </w:p>
        </w:tc>
        <w:tc>
          <w:tcPr>
            <w:tcW w:w="1188" w:type="dxa"/>
          </w:tcPr>
          <w:p w:rsidR="0096528A" w:rsidRDefault="0096528A" w:rsidP="00FB32F5"/>
        </w:tc>
      </w:tr>
      <w:tr w:rsidR="0096528A" w:rsidTr="00FB32F5">
        <w:tc>
          <w:tcPr>
            <w:tcW w:w="4428" w:type="dxa"/>
          </w:tcPr>
          <w:p w:rsidR="0096528A" w:rsidRDefault="0096528A" w:rsidP="00FB32F5"/>
          <w:p w:rsidR="0096528A" w:rsidRDefault="0096528A" w:rsidP="00FB32F5">
            <w:r>
              <w:t>Graduate Survey Return Rate</w:t>
            </w:r>
          </w:p>
        </w:tc>
        <w:tc>
          <w:tcPr>
            <w:tcW w:w="990" w:type="dxa"/>
            <w:vAlign w:val="bottom"/>
          </w:tcPr>
          <w:p w:rsidR="0096528A" w:rsidRDefault="0096528A" w:rsidP="00FB32F5">
            <w:r>
              <w:t>100%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E41E9F" w:rsidP="00FB32F5">
            <w:r>
              <w:t>66%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344925" w:rsidP="00FB32F5">
            <w:r>
              <w:t>90%</w:t>
            </w:r>
          </w:p>
        </w:tc>
        <w:tc>
          <w:tcPr>
            <w:tcW w:w="990" w:type="dxa"/>
          </w:tcPr>
          <w:p w:rsidR="0096528A" w:rsidRDefault="0096528A" w:rsidP="00FB32F5"/>
          <w:p w:rsidR="00933564" w:rsidRDefault="00933564" w:rsidP="00FB32F5">
            <w:r>
              <w:t>100%</w:t>
            </w:r>
          </w:p>
        </w:tc>
        <w:tc>
          <w:tcPr>
            <w:tcW w:w="1188" w:type="dxa"/>
          </w:tcPr>
          <w:p w:rsidR="0096528A" w:rsidRDefault="0096528A" w:rsidP="00FB32F5"/>
        </w:tc>
      </w:tr>
      <w:tr w:rsidR="0096528A" w:rsidTr="00FB32F5">
        <w:tc>
          <w:tcPr>
            <w:tcW w:w="4428" w:type="dxa"/>
          </w:tcPr>
          <w:p w:rsidR="0096528A" w:rsidRDefault="0096528A" w:rsidP="00FB32F5"/>
        </w:tc>
        <w:tc>
          <w:tcPr>
            <w:tcW w:w="990" w:type="dxa"/>
            <w:vAlign w:val="bottom"/>
          </w:tcPr>
          <w:p w:rsidR="0096528A" w:rsidRDefault="0096528A" w:rsidP="00FB32F5"/>
        </w:tc>
        <w:tc>
          <w:tcPr>
            <w:tcW w:w="990" w:type="dxa"/>
          </w:tcPr>
          <w:p w:rsidR="0096528A" w:rsidRDefault="0096528A" w:rsidP="00FB32F5"/>
        </w:tc>
        <w:tc>
          <w:tcPr>
            <w:tcW w:w="990" w:type="dxa"/>
          </w:tcPr>
          <w:p w:rsidR="0096528A" w:rsidRDefault="0096528A" w:rsidP="00FB32F5"/>
        </w:tc>
        <w:tc>
          <w:tcPr>
            <w:tcW w:w="990" w:type="dxa"/>
          </w:tcPr>
          <w:p w:rsidR="0096528A" w:rsidRDefault="0096528A" w:rsidP="00FB32F5"/>
        </w:tc>
        <w:tc>
          <w:tcPr>
            <w:tcW w:w="1188" w:type="dxa"/>
          </w:tcPr>
          <w:p w:rsidR="0096528A" w:rsidRDefault="0096528A" w:rsidP="00FB32F5"/>
        </w:tc>
      </w:tr>
      <w:tr w:rsidR="0096528A" w:rsidTr="00FB32F5">
        <w:tc>
          <w:tcPr>
            <w:tcW w:w="4428" w:type="dxa"/>
          </w:tcPr>
          <w:p w:rsidR="0096528A" w:rsidRDefault="0096528A" w:rsidP="00FB32F5">
            <w:r>
              <w:t>ARC/STSA Graduate Survey Satisfaction Rate Threshold</w:t>
            </w:r>
          </w:p>
        </w:tc>
        <w:tc>
          <w:tcPr>
            <w:tcW w:w="990" w:type="dxa"/>
            <w:vAlign w:val="bottom"/>
          </w:tcPr>
          <w:p w:rsidR="0096528A" w:rsidRDefault="0096528A" w:rsidP="00FB32F5">
            <w:r>
              <w:t>85%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E41E9F" w:rsidP="00FB32F5">
            <w:r>
              <w:t>85%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344925" w:rsidP="00FB32F5">
            <w:r>
              <w:t>85%</w:t>
            </w:r>
          </w:p>
        </w:tc>
        <w:tc>
          <w:tcPr>
            <w:tcW w:w="990" w:type="dxa"/>
          </w:tcPr>
          <w:p w:rsidR="0096528A" w:rsidRDefault="0096528A" w:rsidP="00FB32F5"/>
          <w:p w:rsidR="00933564" w:rsidRDefault="00933564" w:rsidP="00FB32F5">
            <w:r>
              <w:t>85%</w:t>
            </w:r>
          </w:p>
        </w:tc>
        <w:tc>
          <w:tcPr>
            <w:tcW w:w="1188" w:type="dxa"/>
          </w:tcPr>
          <w:p w:rsidR="0096528A" w:rsidRDefault="0096528A" w:rsidP="00FB32F5"/>
        </w:tc>
      </w:tr>
      <w:tr w:rsidR="0096528A" w:rsidTr="00FB32F5">
        <w:tc>
          <w:tcPr>
            <w:tcW w:w="4428" w:type="dxa"/>
          </w:tcPr>
          <w:p w:rsidR="0096528A" w:rsidRDefault="0096528A" w:rsidP="00FB32F5"/>
          <w:p w:rsidR="0096528A" w:rsidRDefault="0096528A" w:rsidP="00FB32F5">
            <w:r>
              <w:t>Graduate Survey Satisfaction Rate</w:t>
            </w:r>
          </w:p>
        </w:tc>
        <w:tc>
          <w:tcPr>
            <w:tcW w:w="990" w:type="dxa"/>
            <w:vAlign w:val="bottom"/>
          </w:tcPr>
          <w:p w:rsidR="0096528A" w:rsidRDefault="00344925" w:rsidP="00FB32F5">
            <w:r>
              <w:t>83</w:t>
            </w:r>
            <w:r w:rsidR="0096528A">
              <w:t>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E41E9F" w:rsidP="00FB32F5">
            <w:r>
              <w:t>100%</w:t>
            </w:r>
          </w:p>
        </w:tc>
        <w:tc>
          <w:tcPr>
            <w:tcW w:w="990" w:type="dxa"/>
          </w:tcPr>
          <w:p w:rsidR="00344925" w:rsidRDefault="00344925" w:rsidP="00FB32F5"/>
          <w:p w:rsidR="0096528A" w:rsidRDefault="00344925" w:rsidP="00FB32F5">
            <w:r>
              <w:t>100%</w:t>
            </w:r>
          </w:p>
        </w:tc>
        <w:tc>
          <w:tcPr>
            <w:tcW w:w="990" w:type="dxa"/>
          </w:tcPr>
          <w:p w:rsidR="0096528A" w:rsidRDefault="0096528A" w:rsidP="00FB32F5"/>
          <w:p w:rsidR="00933564" w:rsidRDefault="00933564" w:rsidP="00FB32F5">
            <w:r>
              <w:t>100%</w:t>
            </w:r>
            <w:bookmarkStart w:id="0" w:name="_GoBack"/>
            <w:bookmarkEnd w:id="0"/>
          </w:p>
        </w:tc>
        <w:tc>
          <w:tcPr>
            <w:tcW w:w="1188" w:type="dxa"/>
          </w:tcPr>
          <w:p w:rsidR="0096528A" w:rsidRDefault="0096528A" w:rsidP="00FB32F5"/>
        </w:tc>
      </w:tr>
    </w:tbl>
    <w:p w:rsidR="0096528A" w:rsidRDefault="0096528A"/>
    <w:sectPr w:rsidR="0096528A" w:rsidSect="00503A0A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34"/>
    <w:rsid w:val="00344925"/>
    <w:rsid w:val="00503A0A"/>
    <w:rsid w:val="005A72F0"/>
    <w:rsid w:val="006A735B"/>
    <w:rsid w:val="00933564"/>
    <w:rsid w:val="0096528A"/>
    <w:rsid w:val="00C16234"/>
    <w:rsid w:val="00E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Flickinger</dc:creator>
  <cp:lastModifiedBy>Kristine Flickinger</cp:lastModifiedBy>
  <cp:revision>6</cp:revision>
  <cp:lastPrinted>2018-08-27T20:50:00Z</cp:lastPrinted>
  <dcterms:created xsi:type="dcterms:W3CDTF">2017-05-30T13:40:00Z</dcterms:created>
  <dcterms:modified xsi:type="dcterms:W3CDTF">2019-08-16T19:18:00Z</dcterms:modified>
</cp:coreProperties>
</file>